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4E" w:rsidRDefault="009B484E" w:rsidP="009B484E">
      <w:pPr>
        <w:pStyle w:val="Corp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SMAU BOLOGNA | R2B: LE 31 REALTÀ SUL PODIO DEL PREMIO INNOVAZIONE</w:t>
      </w:r>
    </w:p>
    <w:p w:rsidR="009B484E" w:rsidRDefault="009B484E" w:rsidP="009B484E">
      <w:pPr>
        <w:pStyle w:val="Corp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Un’Italia che si rinnova a partire dai settori più strategici dell’economia: dalle grandi aziende alle piccole realtà 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Smau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Bologna | R2B, l’8 e 9 giugno, saranno premiate nei Live Show le esperienze raccontate da chi ha messo al centro della propria strategia di crescita l’innovazione.</w:t>
      </w:r>
    </w:p>
    <w:p w:rsidR="009B484E" w:rsidRPr="009B484E" w:rsidRDefault="009B484E" w:rsidP="009B484E">
      <w:pPr>
        <w:pStyle w:val="Corp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B484E" w:rsidRPr="009B484E" w:rsidRDefault="009B484E" w:rsidP="009B48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Bologna, 8</w:t>
      </w:r>
      <w:bookmarkStart w:id="0" w:name="_GoBack"/>
      <w:bookmarkEnd w:id="0"/>
      <w:r w:rsidRPr="009B484E">
        <w:rPr>
          <w:rFonts w:asciiTheme="minorHAnsi" w:hAnsiTheme="minorHAnsi" w:cstheme="minorHAnsi"/>
          <w:sz w:val="20"/>
          <w:szCs w:val="20"/>
        </w:rPr>
        <w:t xml:space="preserve"> giugno. Ottimizzare la produzione per accrescere la qualità dei manufatti, realizzare cataloghi 3d per presentare i propri prodotti, garantire maggiore sicurezza ai consumatori attraverso sofisticati sistemi di tracciabilità nel settore agroalimentare, far leva sul talento e l’innovazione delle startup per stare al passo con il mercato: sono questi i tratti principali delle testimonianze dirette delle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 31 eccellenze del territorio</w:t>
      </w:r>
      <w:r w:rsidRPr="009B484E">
        <w:rPr>
          <w:rFonts w:asciiTheme="minorHAnsi" w:hAnsiTheme="minorHAnsi" w:cstheme="minorHAnsi"/>
          <w:sz w:val="20"/>
          <w:szCs w:val="20"/>
        </w:rPr>
        <w:t xml:space="preserve"> che l’8 e 9 giugno, in occasione di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Smau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Bologna | R2B, nell’ambito dei 10 Live Show in programma, riceveranno il 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Premio Innovazione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Smau</w:t>
      </w:r>
      <w:proofErr w:type="spellEnd"/>
      <w:r w:rsidRPr="009B484E">
        <w:rPr>
          <w:rFonts w:asciiTheme="minorHAnsi" w:hAnsiTheme="minorHAnsi" w:cstheme="minorHAnsi"/>
          <w:b/>
          <w:sz w:val="20"/>
          <w:szCs w:val="20"/>
        </w:rPr>
        <w:t xml:space="preserve"> | R2B.</w:t>
      </w:r>
    </w:p>
    <w:p w:rsidR="009B484E" w:rsidRPr="009B484E" w:rsidRDefault="009B484E" w:rsidP="009B484E">
      <w:pPr>
        <w:pStyle w:val="Corp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9B484E" w:rsidRPr="009B484E" w:rsidRDefault="009B484E" w:rsidP="009B484E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9B484E">
        <w:rPr>
          <w:rFonts w:asciiTheme="minorHAnsi" w:hAnsiTheme="minorHAnsi" w:cstheme="minorHAnsi"/>
          <w:sz w:val="20"/>
          <w:szCs w:val="20"/>
        </w:rPr>
        <w:t>T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ra i temi principali di questa edizione di </w:t>
      </w:r>
      <w:proofErr w:type="spellStart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Smau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Bologna | R2B, l’innovazione applicata al settore dell’agroalimentare, per valorizzare e tutelare la produzione “Made in Italy”. Proprio questo è l’obiettivo, ad esempio, dell’esperienza raccontata da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Olive </w:t>
      </w:r>
      <w:proofErr w:type="spellStart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Grove</w:t>
      </w:r>
      <w:proofErr w:type="spellEnd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Partners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azienda con sede in provincia di Grosseto fondata nel 2016 con l’obiettivo di produrre un olio di oliva extra vergine di alta qualità. Tra i progetti in corso, la realizzazione di un sistema di tracciabilità dei prodotti, </w:t>
      </w:r>
      <w:proofErr w:type="spellStart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Safety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4 </w:t>
      </w:r>
      <w:proofErr w:type="spellStart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Food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sviluppato da CISCO e Penelope </w:t>
      </w:r>
      <w:proofErr w:type="spellStart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SpA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Un’innovazione proiettata al futuro anche quella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COOP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la più grande catena di supermercati italiani, che ha ripensato il punto vendita inaugurando il ‘supermercato del futuro’, grazie alla collaborazione dei partner Microsoft, Accenture e </w:t>
      </w:r>
      <w:proofErr w:type="spellStart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Avanade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 A queste si aggiungono le esperienze di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Amadori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uno dei principali leader nel settore agroalimentare italiano che ha avviato il progetto-pilota “Amadori Dove Vuoi”: una nuova piattaforma e-Commerce che permette ai consumatori di ordinare online i prodotti Amadori e di ritirarli presso uno dei punti vendita aderenti all’iniziativa e di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Tetra Pack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il colosso degli imballaggi che, seguendo l'approccio “Design </w:t>
      </w:r>
      <w:proofErr w:type="spellStart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Thinking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”, ha coinvolto studenti e docenti per indagare quale sia il valore per i consumatori e per i brand dall’uso di imballaggi intelligenti. Tra le aziende premiate anche </w:t>
      </w:r>
      <w:proofErr w:type="spellStart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Cibus</w:t>
      </w:r>
      <w:proofErr w:type="spellEnd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- Fiere di Parma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Pasta </w:t>
      </w:r>
      <w:proofErr w:type="spellStart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Cuniola</w:t>
      </w:r>
      <w:proofErr w:type="spellEnd"/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Fattoria di Petroio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Società Agricola </w:t>
      </w:r>
      <w:proofErr w:type="spellStart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Bertuzzi</w:t>
      </w:r>
      <w:proofErr w:type="spellEnd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e </w:t>
      </w:r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Waste2Value.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9B484E" w:rsidRPr="009B484E" w:rsidRDefault="009B484E" w:rsidP="009B484E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9B484E" w:rsidRPr="009B484E" w:rsidRDefault="009B484E" w:rsidP="009B484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B484E">
        <w:rPr>
          <w:rFonts w:asciiTheme="minorHAnsi" w:hAnsiTheme="minorHAnsi" w:cstheme="minorHAnsi"/>
          <w:color w:val="000000"/>
          <w:sz w:val="20"/>
          <w:szCs w:val="20"/>
        </w:rPr>
        <w:t xml:space="preserve">Molti anche i progetti in tema Industria 4.0, tra cui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Faber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azienda che produce cappe aspiranti per cucina che racconterà J-Project, una cappa innovativa, che integra la tecnologia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IoT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Eutronica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azienda che ha progettato, prodotto e commercializzato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Jobot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: un veicolo autonomo da interno (AGV) che supporta e agevola il lavoro umano eseguendo semplici missioni da stazioni di carico e scarico a centri di lavoro e </w:t>
      </w:r>
      <w:r w:rsidRPr="009B484E">
        <w:rPr>
          <w:rFonts w:asciiTheme="minorHAnsi" w:hAnsiTheme="minorHAnsi" w:cstheme="minorHAnsi"/>
          <w:b/>
          <w:sz w:val="20"/>
          <w:szCs w:val="20"/>
        </w:rPr>
        <w:t>Marazzi</w:t>
      </w:r>
      <w:r w:rsidRPr="009B484E">
        <w:rPr>
          <w:rFonts w:asciiTheme="minorHAnsi" w:hAnsiTheme="minorHAnsi" w:cstheme="minorHAnsi"/>
          <w:sz w:val="20"/>
          <w:szCs w:val="20"/>
        </w:rPr>
        <w:t xml:space="preserve">, il marchio più noto nel settore delle piastrelle di ceramica, che racconterà il progetto Marazzi BOT, una soluzione che utilizza un’interfaccia conversazionale su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app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di Chat applicate a un sistema “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legacy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”. Ottimizzazione dei processi, automatizzazione delle procedure, analisi dell’andamento dei processi, centralizzazione delle informazioni per migliorarne la condivisione e la ricerca, organizzazione di flussi operativi fluidi e focalizzati grazie all’ausilio della tecnologia: sono questi alcuni dei benefici ottenuti da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Renografica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azienda che produce astucci di qualità certificata per il settore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healthcare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per un progetto di Trasformazione Digitale realizzato con il partner Able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Tech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. Tra i premiati anche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Emmeti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azienda che realizza “macchine e trasportatori” per l’automazione industriale.  L’azienda, partendo dalle informazioni offerte dal proprio gestionale SAP sulle componenti  di ogni macchina,  è passata da un sistema di cataloghi di ricambi basato su disegni bidimensionali a un sistema di cataloghi in 3D. </w:t>
      </w:r>
      <w:r w:rsidRPr="009B484E">
        <w:rPr>
          <w:rFonts w:asciiTheme="minorHAnsi" w:hAnsiTheme="minorHAnsi" w:cstheme="minorHAnsi"/>
          <w:b/>
          <w:sz w:val="20"/>
          <w:szCs w:val="20"/>
        </w:rPr>
        <w:t>Mandelli Sistemi Spa</w:t>
      </w:r>
      <w:r w:rsidRPr="009B484E">
        <w:rPr>
          <w:rFonts w:asciiTheme="minorHAnsi" w:hAnsiTheme="minorHAnsi" w:cstheme="minorHAnsi"/>
          <w:sz w:val="20"/>
          <w:szCs w:val="20"/>
        </w:rPr>
        <w:t xml:space="preserve">, una delle aziende italiane leader nella produzione di macchine utensili, ha introdotto un pacchetto innovativo di soluzioni che consiste nell’arricchimento della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sensoristica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di macchina, finalizzata alla raccolta dei dati di funzionamento di tutti i componenti importanti e/o soggetti ad usura, ed alla dotazione di strumenti di trasmissione dati “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real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time” così da poterli condividere e monitorare,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telemetricamente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da remoto.</w:t>
      </w:r>
    </w:p>
    <w:p w:rsidR="009B484E" w:rsidRPr="009B484E" w:rsidRDefault="009B484E" w:rsidP="009B484E">
      <w:pPr>
        <w:jc w:val="both"/>
        <w:rPr>
          <w:rFonts w:asciiTheme="minorHAnsi" w:hAnsiTheme="minorHAnsi" w:cstheme="minorHAnsi"/>
          <w:sz w:val="20"/>
          <w:szCs w:val="20"/>
        </w:rPr>
      </w:pPr>
      <w:r w:rsidRPr="009B484E">
        <w:rPr>
          <w:rFonts w:asciiTheme="minorHAnsi" w:hAnsiTheme="minorHAnsi" w:cstheme="minorHAnsi"/>
          <w:sz w:val="20"/>
          <w:szCs w:val="20"/>
        </w:rPr>
        <w:t xml:space="preserve">Non mancheranno, inoltre, le esperienze di 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Open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Innovation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tra cui quella di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Seeweb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Cloud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Computing Provider che dal 2005 ha iniziato a frequentare il mondo delle startup e i giovani talentuosi con buone idee e grandi capacità e con alcuni di loro ha realizzato accordi di collaborazione che hanno portato alla realizzazione di nuovi prodotti.</w:t>
      </w:r>
      <w:r w:rsidRPr="009B484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B484E">
        <w:rPr>
          <w:rFonts w:asciiTheme="minorHAnsi" w:hAnsiTheme="minorHAnsi" w:cstheme="minorHAnsi"/>
          <w:sz w:val="20"/>
          <w:szCs w:val="20"/>
        </w:rPr>
        <w:t xml:space="preserve">Con l’obiettivo di promuovere l’innovazione e l’intraprendenza,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Piquadro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racconterà le proprie iniziative vòlte a premiare i migliori progetti di business nell’area della tecnologia applicata all’industria della valigeria e dell’accessorio moda e parlerà di BAGMOTIC, una sorta di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bag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automation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che integra la tecnologia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IoT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nelle cartelle, negli zaini e nei trolley, così come </w:t>
      </w:r>
      <w:r w:rsidRPr="009B484E">
        <w:rPr>
          <w:rFonts w:asciiTheme="minorHAnsi" w:hAnsiTheme="minorHAnsi" w:cstheme="minorHAnsi"/>
          <w:b/>
          <w:sz w:val="20"/>
          <w:szCs w:val="20"/>
        </w:rPr>
        <w:t>Ducati</w:t>
      </w:r>
      <w:r w:rsidRPr="009B484E">
        <w:rPr>
          <w:rFonts w:asciiTheme="minorHAnsi" w:hAnsiTheme="minorHAnsi" w:cstheme="minorHAnsi"/>
          <w:sz w:val="20"/>
          <w:szCs w:val="20"/>
        </w:rPr>
        <w:t xml:space="preserve"> parlerà della sua ricetta innovativa per un business vincente: “Scrambler Ducati”, la rappresentazione di un lavoro di ricerca, sperimentazione e sviluppo di prodotto per un pubblico nuovo e l’apertura ad una fascia di mercato prima d’ora lontana al mondo Ducati. Tra gli aspetti più innovativi del progetto vi è la creazione di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Internal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</w:t>
      </w:r>
      <w:r w:rsidRPr="009B484E">
        <w:rPr>
          <w:rFonts w:asciiTheme="minorHAnsi" w:hAnsiTheme="minorHAnsi" w:cstheme="minorHAnsi"/>
          <w:sz w:val="20"/>
          <w:szCs w:val="20"/>
        </w:rPr>
        <w:lastRenderedPageBreak/>
        <w:t>Startup, un laboratorio di ricerca e sviluppo autonomo fatto di contaminazione tra risorse interne ed esterne e figure digitali, la cui caratteristica principale è la completa apertura alla sperimentazione.</w:t>
      </w:r>
    </w:p>
    <w:p w:rsidR="009B484E" w:rsidRPr="009B484E" w:rsidRDefault="009B484E" w:rsidP="009B484E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:rsidR="009B484E" w:rsidRPr="009B484E" w:rsidRDefault="009B484E" w:rsidP="009B484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B484E">
        <w:rPr>
          <w:rFonts w:asciiTheme="minorHAnsi" w:hAnsiTheme="minorHAnsi" w:cstheme="minorHAnsi"/>
          <w:sz w:val="20"/>
          <w:szCs w:val="20"/>
        </w:rPr>
        <w:t xml:space="preserve">E di salute e di miglioramento della qualità della vita dei cittadini nelle comunità Smart di Pubbliche Amministrazioni ed enti territorio, come Look of Life realizzato da </w:t>
      </w:r>
      <w:r w:rsidRPr="009B484E">
        <w:rPr>
          <w:rFonts w:asciiTheme="minorHAnsi" w:hAnsiTheme="minorHAnsi" w:cstheme="minorHAnsi"/>
          <w:b/>
          <w:sz w:val="20"/>
          <w:szCs w:val="20"/>
        </w:rPr>
        <w:t>Fondazione ANT</w:t>
      </w:r>
      <w:r w:rsidRPr="009B484E">
        <w:rPr>
          <w:rFonts w:asciiTheme="minorHAnsi" w:hAnsiTheme="minorHAnsi" w:cstheme="minorHAnsi"/>
          <w:sz w:val="20"/>
          <w:szCs w:val="20"/>
        </w:rPr>
        <w:t xml:space="preserve"> e finalizzato ad utilizzare la Realtà Virtuale come strumento per allievare il dolore, l’ansia e la depressione, che spesso si accompagnano alle malattie oncologiche,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EmiliaRomagnaWiFi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un sistema facile, gratuito e qualitativamente adeguato che garantisce l’accesso alla Rete su tutto il territorio, e, ancora,  il servizio Nuvola IT Comunicazione Integrata del </w:t>
      </w:r>
      <w:r w:rsidRPr="009B484E">
        <w:rPr>
          <w:rFonts w:asciiTheme="minorHAnsi" w:hAnsiTheme="minorHAnsi" w:cstheme="minorHAnsi"/>
          <w:b/>
          <w:sz w:val="20"/>
          <w:szCs w:val="20"/>
        </w:rPr>
        <w:t>Comune di Bologna</w:t>
      </w:r>
      <w:r w:rsidRPr="009B484E">
        <w:rPr>
          <w:rFonts w:asciiTheme="minorHAnsi" w:hAnsiTheme="minorHAnsi" w:cstheme="minorHAnsi"/>
          <w:sz w:val="20"/>
          <w:szCs w:val="20"/>
        </w:rPr>
        <w:t xml:space="preserve">, realizzato in collaborazione con TIM con l’obiettivo di far evolvere il sistema di comunicazione in uso al fine di rendere il lavoro dei dipendenti più intelligente, più integrato e più innovativo, attraverso l'adozione di una soluzione </w:t>
      </w:r>
      <w:proofErr w:type="spellStart"/>
      <w:r w:rsidRPr="009B484E">
        <w:rPr>
          <w:rFonts w:asciiTheme="minorHAnsi" w:hAnsiTheme="minorHAnsi" w:cstheme="minorHAnsi"/>
          <w:i/>
          <w:iCs/>
          <w:sz w:val="20"/>
          <w:szCs w:val="20"/>
        </w:rPr>
        <w:t>cloud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>. Ad aggiudicarsi il premio anche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 Gruppo Hera</w:t>
      </w:r>
      <w:r w:rsidRPr="009B484E">
        <w:rPr>
          <w:rFonts w:asciiTheme="minorHAnsi" w:hAnsiTheme="minorHAnsi" w:cstheme="minorHAnsi"/>
          <w:sz w:val="20"/>
          <w:szCs w:val="20"/>
        </w:rPr>
        <w:t xml:space="preserve"> con il Control Center &amp; Data Management (CCDM), una piattaforma digitale, un cervello che raccoglie e integra in un unico punto dati provenienti da diversi settori, incrocia statistiche, supporta l’identificazione di azioni e fornisce una visione d’insieme sulla città. Dati di diversi generi, da quelli del controllo degli inquinanti nell’aria a quelli sulla sicurezza raccolti dalle telecamere sparse nelle città, vengono raccolti, elaborati e messi a disposizione di amministrazione e cittadini. Tra i premiati in tema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smart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communities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anche il </w:t>
      </w:r>
      <w:r w:rsidRPr="009B484E">
        <w:rPr>
          <w:rFonts w:asciiTheme="minorHAnsi" w:hAnsiTheme="minorHAnsi" w:cstheme="minorHAnsi"/>
          <w:b/>
          <w:sz w:val="20"/>
          <w:szCs w:val="20"/>
        </w:rPr>
        <w:t>Comune di Tavarnelle Val di Pesa,</w:t>
      </w:r>
      <w:r w:rsidRPr="009B484E">
        <w:rPr>
          <w:rFonts w:asciiTheme="minorHAnsi" w:hAnsiTheme="minorHAnsi" w:cstheme="minorHAnsi"/>
          <w:sz w:val="20"/>
          <w:szCs w:val="20"/>
        </w:rPr>
        <w:t xml:space="preserve"> la </w:t>
      </w:r>
      <w:r w:rsidRPr="009B484E">
        <w:rPr>
          <w:rFonts w:asciiTheme="minorHAnsi" w:hAnsiTheme="minorHAnsi" w:cstheme="minorHAnsi"/>
          <w:b/>
          <w:sz w:val="20"/>
          <w:szCs w:val="20"/>
        </w:rPr>
        <w:t>Croce Rossa Italiana</w:t>
      </w:r>
      <w:r w:rsidRPr="009B484E">
        <w:rPr>
          <w:rFonts w:asciiTheme="minorHAnsi" w:hAnsiTheme="minorHAnsi" w:cstheme="minorHAnsi"/>
          <w:sz w:val="20"/>
          <w:szCs w:val="20"/>
        </w:rPr>
        <w:t>,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 Aster</w:t>
      </w:r>
      <w:r w:rsidRPr="009B484E">
        <w:rPr>
          <w:rFonts w:asciiTheme="minorHAnsi" w:hAnsiTheme="minorHAnsi" w:cstheme="minorHAnsi"/>
          <w:sz w:val="20"/>
          <w:szCs w:val="20"/>
        </w:rPr>
        <w:t>,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 Regione Sardegna </w:t>
      </w:r>
      <w:r w:rsidRPr="009B484E">
        <w:rPr>
          <w:rFonts w:asciiTheme="minorHAnsi" w:hAnsiTheme="minorHAnsi" w:cstheme="minorHAnsi"/>
          <w:sz w:val="20"/>
          <w:szCs w:val="20"/>
        </w:rPr>
        <w:t>e</w:t>
      </w:r>
      <w:r w:rsidRPr="009B484E">
        <w:rPr>
          <w:rFonts w:asciiTheme="minorHAnsi" w:hAnsiTheme="minorHAnsi" w:cstheme="minorHAnsi"/>
          <w:b/>
          <w:sz w:val="20"/>
          <w:szCs w:val="20"/>
        </w:rPr>
        <w:t xml:space="preserve"> Linea Comune</w:t>
      </w:r>
      <w:r w:rsidRPr="009B484E">
        <w:rPr>
          <w:rFonts w:asciiTheme="minorHAnsi" w:hAnsiTheme="minorHAnsi" w:cstheme="minorHAnsi"/>
          <w:sz w:val="20"/>
          <w:szCs w:val="20"/>
        </w:rPr>
        <w:t xml:space="preserve">, il progetto che digitalizza i servizi dei comuni. </w:t>
      </w:r>
    </w:p>
    <w:p w:rsidR="009B484E" w:rsidRPr="009B484E" w:rsidRDefault="009B484E" w:rsidP="009B484E">
      <w:pPr>
        <w:jc w:val="both"/>
        <w:rPr>
          <w:rFonts w:asciiTheme="minorHAnsi" w:hAnsiTheme="minorHAnsi" w:cstheme="minorHAnsi"/>
          <w:sz w:val="20"/>
          <w:szCs w:val="20"/>
        </w:rPr>
      </w:pP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Si parlerà anche di Fatturazione Elettronica con  </w:t>
      </w:r>
      <w:proofErr w:type="spellStart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>Avm</w:t>
      </w:r>
      <w:proofErr w:type="spellEnd"/>
      <w:r w:rsidRPr="009B484E">
        <w:rPr>
          <w:rFonts w:asciiTheme="minorHAnsi" w:eastAsia="Arial Unicode MS" w:hAnsiTheme="minorHAnsi" w:cstheme="minorHAnsi"/>
          <w:b/>
          <w:color w:val="000000"/>
          <w:sz w:val="20"/>
          <w:szCs w:val="20"/>
          <w:bdr w:val="none" w:sz="0" w:space="0" w:color="auto" w:frame="1"/>
        </w:rPr>
        <w:t xml:space="preserve"> Holding</w:t>
      </w:r>
      <w:r w:rsidRPr="009B484E">
        <w:rPr>
          <w:rFonts w:asciiTheme="minorHAnsi" w:eastAsia="Arial Unicode MS" w:hAnsiTheme="minorHAnsi" w:cstheme="minorHAnsi"/>
          <w:color w:val="000000"/>
          <w:sz w:val="20"/>
          <w:szCs w:val="20"/>
          <w:bdr w:val="none" w:sz="0" w:space="0" w:color="auto" w:frame="1"/>
        </w:rPr>
        <w:t>,</w:t>
      </w:r>
      <w:r w:rsidRPr="009B484E">
        <w:rPr>
          <w:rFonts w:asciiTheme="minorHAnsi" w:hAnsiTheme="minorHAnsi" w:cstheme="minorHAnsi"/>
          <w:sz w:val="20"/>
          <w:szCs w:val="20"/>
        </w:rPr>
        <w:t xml:space="preserve"> la municipalizzata che gestisce il sistema di trasporto pubblico di Venezia e comuni limitrofi che, in collaborazione con la rete d'impresa Menocarta.net specializzata in servizi di fatturazione elettronica e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compliance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di processo, ha adottato un sistema di fatturazione elettronica in grado di rendere più efficienti i rapporti tra azienda pubblica e fornitori privati ed evitare l’enorme spreco di carta attuale. </w:t>
      </w:r>
    </w:p>
    <w:p w:rsidR="009B484E" w:rsidRPr="009B484E" w:rsidRDefault="009B484E" w:rsidP="009B484E">
      <w:pPr>
        <w:jc w:val="both"/>
        <w:rPr>
          <w:rFonts w:asciiTheme="minorHAnsi" w:hAnsiTheme="minorHAnsi" w:cstheme="minorHAnsi"/>
          <w:sz w:val="20"/>
          <w:szCs w:val="20"/>
        </w:rPr>
      </w:pPr>
      <w:r w:rsidRPr="009B484E">
        <w:rPr>
          <w:rFonts w:asciiTheme="minorHAnsi" w:hAnsiTheme="minorHAnsi" w:cstheme="minorHAnsi"/>
          <w:sz w:val="20"/>
          <w:szCs w:val="20"/>
        </w:rPr>
        <w:t xml:space="preserve">Tra i vincitori anche </w:t>
      </w:r>
      <w:proofErr w:type="spellStart"/>
      <w:r w:rsidRPr="009B484E">
        <w:rPr>
          <w:rFonts w:asciiTheme="minorHAnsi" w:hAnsiTheme="minorHAnsi" w:cstheme="minorHAnsi"/>
          <w:b/>
          <w:sz w:val="20"/>
          <w:szCs w:val="20"/>
        </w:rPr>
        <w:t>Day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con il progetto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Day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 Welfare, una piattaforma digitale che consente l’incontro di domanda e offerta di beni e servizi, nell’area del welfare aziendale, </w:t>
      </w:r>
      <w:r w:rsidRPr="009B484E">
        <w:rPr>
          <w:rFonts w:asciiTheme="minorHAnsi" w:hAnsiTheme="minorHAnsi" w:cstheme="minorHAnsi"/>
          <w:b/>
          <w:sz w:val="20"/>
          <w:szCs w:val="20"/>
        </w:rPr>
        <w:t>Lepida TV</w:t>
      </w:r>
      <w:r w:rsidRPr="009B484E">
        <w:rPr>
          <w:rFonts w:asciiTheme="minorHAnsi" w:hAnsiTheme="minorHAnsi" w:cstheme="minorHAnsi"/>
          <w:sz w:val="20"/>
          <w:szCs w:val="20"/>
        </w:rPr>
        <w:t xml:space="preserve"> con </w:t>
      </w:r>
      <w:proofErr w:type="spellStart"/>
      <w:r w:rsidRPr="009B484E">
        <w:rPr>
          <w:rFonts w:asciiTheme="minorHAnsi" w:hAnsiTheme="minorHAnsi" w:cstheme="minorHAnsi"/>
          <w:sz w:val="20"/>
          <w:szCs w:val="20"/>
        </w:rPr>
        <w:t>iCuber</w:t>
      </w:r>
      <w:proofErr w:type="spellEnd"/>
      <w:r w:rsidRPr="009B484E">
        <w:rPr>
          <w:rFonts w:asciiTheme="minorHAnsi" w:hAnsiTheme="minorHAnsi" w:cstheme="minorHAnsi"/>
          <w:sz w:val="20"/>
          <w:szCs w:val="20"/>
        </w:rPr>
        <w:t xml:space="preserve">, un format video per promuovere i temi e i protagonisti dell’innovazione e </w:t>
      </w:r>
      <w:r w:rsidRPr="009B484E">
        <w:rPr>
          <w:rFonts w:asciiTheme="minorHAnsi" w:hAnsiTheme="minorHAnsi" w:cstheme="minorHAnsi"/>
          <w:b/>
          <w:sz w:val="20"/>
          <w:szCs w:val="20"/>
        </w:rPr>
        <w:t>Regione Marche</w:t>
      </w:r>
      <w:r w:rsidRPr="009B484E">
        <w:rPr>
          <w:rFonts w:asciiTheme="minorHAnsi" w:hAnsiTheme="minorHAnsi" w:cstheme="minorHAnsi"/>
          <w:sz w:val="20"/>
          <w:szCs w:val="20"/>
        </w:rPr>
        <w:t>.</w:t>
      </w:r>
    </w:p>
    <w:p w:rsidR="009B484E" w:rsidRDefault="009B484E" w:rsidP="009B484E"/>
    <w:p w:rsidR="009B484E" w:rsidRDefault="009B484E" w:rsidP="009B484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4026" w:rsidRPr="009B484E" w:rsidRDefault="001F4026" w:rsidP="002B0903">
      <w:pPr>
        <w:rPr>
          <w:rFonts w:ascii="Arial" w:hAnsi="Arial" w:cs="Arial"/>
          <w:b/>
          <w:sz w:val="20"/>
          <w:szCs w:val="20"/>
        </w:rPr>
      </w:pPr>
    </w:p>
    <w:sectPr w:rsidR="001F4026" w:rsidRPr="009B484E" w:rsidSect="002B0903">
      <w:headerReference w:type="default" r:id="rId8"/>
      <w:footerReference w:type="default" r:id="rId9"/>
      <w:pgSz w:w="11906" w:h="16838" w:code="9"/>
      <w:pgMar w:top="2268" w:right="991" w:bottom="1977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A2" w:rsidRDefault="00AE11A2">
      <w:r>
        <w:separator/>
      </w:r>
    </w:p>
  </w:endnote>
  <w:endnote w:type="continuationSeparator" w:id="0">
    <w:p w:rsidR="00AE11A2" w:rsidRDefault="00AE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26" w:rsidRDefault="002B0903" w:rsidP="001F4026">
    <w:pPr>
      <w:pStyle w:val="Pidipagina"/>
      <w:tabs>
        <w:tab w:val="clear" w:pos="9638"/>
        <w:tab w:val="right" w:pos="10773"/>
      </w:tabs>
      <w:ind w:left="-709" w:hanging="284"/>
      <w:jc w:val="right"/>
    </w:pPr>
    <w:r>
      <w:rPr>
        <w:noProof/>
      </w:rPr>
      <w:drawing>
        <wp:inline distT="0" distB="0" distL="0" distR="0">
          <wp:extent cx="5012055" cy="577850"/>
          <wp:effectExtent l="0" t="0" r="0" b="0"/>
          <wp:docPr id="2" name="Immagine 2" descr="piede_ex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e_exp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A2" w:rsidRDefault="00AE11A2">
      <w:r>
        <w:separator/>
      </w:r>
    </w:p>
  </w:footnote>
  <w:footnote w:type="continuationSeparator" w:id="0">
    <w:p w:rsidR="00AE11A2" w:rsidRDefault="00AE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26" w:rsidRDefault="00EC39D3">
    <w:pPr>
      <w:pStyle w:val="Intestazione"/>
    </w:pPr>
    <w:r>
      <w:rPr>
        <w:noProof/>
      </w:rPr>
      <w:drawing>
        <wp:inline distT="0" distB="0" distL="0" distR="0">
          <wp:extent cx="1835474" cy="438970"/>
          <wp:effectExtent l="25400" t="0" r="0" b="0"/>
          <wp:docPr id="1" name="Immagine 0" descr="smau_r2b_bologna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u_r2b_bologna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4356" cy="43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D86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92B9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689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FE5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FA6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645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540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86E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70B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20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0F4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activeWritingStyle w:appName="MSWord" w:lang="it-IT" w:vendorID="3" w:dllVersion="517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D"/>
    <w:rsid w:val="001F4026"/>
    <w:rsid w:val="002B0903"/>
    <w:rsid w:val="00312444"/>
    <w:rsid w:val="003F0A78"/>
    <w:rsid w:val="004B65F8"/>
    <w:rsid w:val="00550DB0"/>
    <w:rsid w:val="00590419"/>
    <w:rsid w:val="009B484E"/>
    <w:rsid w:val="00A8051E"/>
    <w:rsid w:val="00A91E4B"/>
    <w:rsid w:val="00AE11A2"/>
    <w:rsid w:val="00C957D5"/>
    <w:rsid w:val="00EC39D3"/>
    <w:rsid w:val="00F4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276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57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73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36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7015"/>
    <w:rPr>
      <w:color w:val="0000FF"/>
      <w:u w:val="single"/>
    </w:rPr>
  </w:style>
  <w:style w:type="paragraph" w:styleId="Testofumetto">
    <w:name w:val="Balloon Text"/>
    <w:basedOn w:val="Normale"/>
    <w:semiHidden/>
    <w:rsid w:val="00C17015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190E47"/>
  </w:style>
  <w:style w:type="character" w:customStyle="1" w:styleId="Titolo1Carattere">
    <w:name w:val="Titolo 1 Carattere"/>
    <w:basedOn w:val="Carpredefinitoparagrafo"/>
    <w:link w:val="Titolo1"/>
    <w:uiPriority w:val="9"/>
    <w:rsid w:val="00C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rpo">
    <w:name w:val="Corpo"/>
    <w:rsid w:val="009B484E"/>
    <w:rPr>
      <w:rFonts w:ascii="Helvetica" w:eastAsia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276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57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73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36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7015"/>
    <w:rPr>
      <w:color w:val="0000FF"/>
      <w:u w:val="single"/>
    </w:rPr>
  </w:style>
  <w:style w:type="paragraph" w:styleId="Testofumetto">
    <w:name w:val="Balloon Text"/>
    <w:basedOn w:val="Normale"/>
    <w:semiHidden/>
    <w:rsid w:val="00C17015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190E47"/>
  </w:style>
  <w:style w:type="character" w:customStyle="1" w:styleId="Titolo1Carattere">
    <w:name w:val="Titolo 1 Carattere"/>
    <w:basedOn w:val="Carpredefinitoparagrafo"/>
    <w:link w:val="Titolo1"/>
    <w:uiPriority w:val="9"/>
    <w:rsid w:val="00C9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rpo">
    <w:name w:val="Corpo"/>
    <w:rsid w:val="009B484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 febbraio 2012</vt:lpstr>
      <vt:lpstr>Milano, 1 febbraio 2012</vt:lpstr>
    </vt:vector>
  </TitlesOfParts>
  <Company>DEMOversion</Company>
  <LinksUpToDate>false</LinksUpToDate>
  <CharactersWithSpaces>7933</CharactersWithSpaces>
  <SharedDoc>false</SharedDoc>
  <HLinks>
    <vt:vector size="12" baseType="variant">
      <vt:variant>
        <vt:i4>1245306</vt:i4>
      </vt:variant>
      <vt:variant>
        <vt:i4>2061</vt:i4>
      </vt:variant>
      <vt:variant>
        <vt:i4>1026</vt:i4>
      </vt:variant>
      <vt:variant>
        <vt:i4>1</vt:i4>
      </vt:variant>
      <vt:variant>
        <vt:lpwstr>smau_bologna_2016</vt:lpwstr>
      </vt:variant>
      <vt:variant>
        <vt:lpwstr/>
      </vt:variant>
      <vt:variant>
        <vt:i4>4522071</vt:i4>
      </vt:variant>
      <vt:variant>
        <vt:i4>2064</vt:i4>
      </vt:variant>
      <vt:variant>
        <vt:i4>1025</vt:i4>
      </vt:variant>
      <vt:variant>
        <vt:i4>1</vt:i4>
      </vt:variant>
      <vt:variant>
        <vt:lpwstr>piede_expo2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 febbraio 2012</dc:title>
  <dc:creator>DEMOversion</dc:creator>
  <cp:lastModifiedBy>Daniela Monteverdi</cp:lastModifiedBy>
  <cp:revision>2</cp:revision>
  <cp:lastPrinted>2016-06-07T07:09:00Z</cp:lastPrinted>
  <dcterms:created xsi:type="dcterms:W3CDTF">2017-06-06T11:35:00Z</dcterms:created>
  <dcterms:modified xsi:type="dcterms:W3CDTF">2017-06-06T11:35:00Z</dcterms:modified>
</cp:coreProperties>
</file>